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lang w:val="en-GB" w:eastAsia="en-GB" w:bidi="en-GB"/>
        </w:rPr>
      </w:pPr>
      <w:r>
        <w:rPr>
          <w:b/>
          <w:bCs/>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Associate Technical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Associate Director / Team Leader - Water Data Science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lang w:val="en-GB" w:eastAsia="en-GB" w:bidi="en-GB"/>
        </w:rPr>
      </w:pPr>
      <w:r>
        <w:rPr>
          <w:b/>
          <w:bCs/>
          <w:lang w:val="en-GB" w:eastAsia="en-GB" w:bidi="en-GB"/>
        </w:rPr>
        <w:t xml:space="preserve">Grade:		Associate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Sector: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GB" w:eastAsia="en-GB" w:bidi="en-GB"/>
        </w:rPr>
      </w:pPr>
      <w:r>
        <w:rPr>
          <w:b/>
          <w:bCs/>
          <w:lang w:val="en-GB" w:eastAsia="en-GB" w:bidi="en-GB"/>
        </w:rPr>
        <w:t xml:space="preserve">Division:</w:t>
      </w:r>
      <w:r>
        <w:rPr>
          <w:lang w:val="en-GB" w:eastAsia="en-GB" w:bidi="en-GB"/>
        </w:rPr>
        <w:t xml:space="preserve">	</w:t>
      </w:r>
      <w:r>
        <w:rPr>
          <w:b/>
          <w:bCs/>
          <w:lang w:val="en-GB" w:eastAsia="en-GB" w:bidi="en-GB"/>
        </w:rPr>
        <w:t xml:space="preserve">Water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Part of APEM’s Water &amp; Land Environmental Services Division, the Water Data Science team specialises in the cutting-edge collection, analysis and interpretation of environmental monitoring and geospatial data. We are passionate about using data to develop evidence-based solutions that allow organisations to better manage their environmental risks and impacts. We take pride in providing impartial, trusted advice to our clients and finding innovative ways to meet some of the biggest environmental challenges of our time, including water scarcity, chemical pollution and climate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Our specialist team of statisticians and data analysts work closely with domain knowledge experts to support clients across the water, energy and environment sectors. We have an established reputation for undertaking high quality research and are the UK industry leaders in the development and application of predictive models for managing the impacts of abstraction, pollution and habitat modification on aquatic ecosystems.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 an Associate Technical Director in the Water Data Science team, you will help lead business development for the team— strengthening existing relationships with internal and external clients, building new ones, identifying new opportunities, and shaping effective tenders and proposals. Drawing on your strong technical expertise, you will help clients understand how our services can address their operational and regulatory challenges, translating client needs into compelling proposals and innovative project scopes.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You will use your technical and project management experience to direct and lead projects, ensuring that they deliver high-quality data-driven insights and are commercially profitable. Utilising your professional network, you will keep abreast of the latest developments in environmental data science, support the development of best practice within the team, and mentor early-career colleagues to strengthen capability across the 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Success in this role means building strong, trusted relationships with clients and consistently identifying and securing new opportunities that help grow our service offerings and expand and diversify our client base. You will have the opportunity to establish yourself as a technical expert and thought leader in your field. You will confidently represent the business in client meetings, understand their challenges, and translate these into tailored, high</w:t>
      </w:r>
      <w:r>
        <w:rPr>
          <w:rFonts w:ascii="Cambria Math" w:hAnsi="Cambria Math" w:eastAsia="Cambria Math" w:cs="Cambria Math"/>
          <w:lang w:val="en-GB" w:eastAsia="en-GB" w:bidi="en-GB"/>
        </w:rPr>
        <w:t xml:space="preserve">‑</w:t>
      </w:r>
      <w:r>
        <w:rPr>
          <w:lang w:val="en-GB" w:eastAsia="en-GB" w:bidi="en-GB"/>
        </w:rPr>
        <w:t xml:space="preserve">value solutions.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You will operate as part of the Water Sector senior leadership team, helping to set team strategy and direction, leading the development of winning proposals, contribute to revenue growth, and help position us as a partner of choice across the water, energy and infrastructure sectors. Through proactive engagement, market awareness and clear communication, you will strengthen long</w:t>
      </w:r>
      <w:r>
        <w:rPr>
          <w:rFonts w:ascii="Cambria Math" w:hAnsi="Cambria Math" w:eastAsia="Cambria Math" w:cs="Cambria Math"/>
          <w:lang w:val="en-GB" w:eastAsia="en-GB" w:bidi="en-GB"/>
        </w:rPr>
        <w:t xml:space="preserve">‑</w:t>
      </w:r>
      <w:r>
        <w:rPr>
          <w:lang w:val="en-GB" w:eastAsia="en-GB" w:bidi="en-GB"/>
        </w:rPr>
        <w:t xml:space="preserve">term partnerships and play a key role in shaping the future direction of our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22" w:hanging="360"/>
        <w:jc w:val="both"/>
        <w:rPr>
          <w:lang w:val="en-GB" w:eastAsia="en-GB" w:bidi="en-GB"/>
        </w:rPr>
      </w:pPr>
      <w:r>
        <w:rPr>
          <w:lang w:val="en-GB" w:eastAsia="en-GB" w:bidi="en-GB"/>
        </w:rPr>
        <w:t xml:space="preserve">Drive development of the pipeline to support the company’s growth plan, including opportunities via diversification in UK&amp;I and overseas.</w:t>
      </w: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22" w:hanging="360"/>
        <w:jc w:val="both"/>
        <w:rPr>
          <w:lang w:val="en-GB" w:eastAsia="en-GB" w:bidi="en-GB"/>
        </w:rPr>
      </w:pPr>
      <w:r>
        <w:rPr>
          <w:lang w:val="en-GB" w:eastAsia="en-GB" w:bidi="en-GB"/>
        </w:rPr>
        <w:t xml:space="preserve">Lead delivery of tenders and proposals, incorporating client and market insights into technical responses and pricing strategies.</w:t>
      </w: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22" w:hanging="360"/>
        <w:jc w:val="both"/>
        <w:rPr>
          <w:lang w:val="en-GB" w:eastAsia="en-GB" w:bidi="en-GB"/>
        </w:rPr>
      </w:pPr>
      <w:r>
        <w:rPr>
          <w:lang w:val="en-GB" w:eastAsia="en-GB" w:bidi="en-GB"/>
        </w:rPr>
        <w:t xml:space="preserve">Develop plans for the ongoing enhancement and innovation of existing technical approaches and the introduction of new capabilities. Support Directors with expansion of services.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Translate market insight and technical enhancements into actionable opportunities. </w:t>
      </w: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22" w:hanging="360"/>
        <w:jc w:val="both"/>
        <w:rPr>
          <w:lang w:val="en-GB" w:eastAsia="en-GB" w:bidi="en-GB"/>
        </w:rPr>
      </w:pPr>
      <w:r>
        <w:rPr>
          <w:lang w:val="en-GB" w:eastAsia="en-GB" w:bidi="en-GB"/>
        </w:rPr>
        <w:t xml:space="preserve">Maintain close relationships with key clients, regulators, and other major stakeholders/ influencers to understand their prevailing perspectives, drivers, and challenges.</w:t>
      </w: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22" w:hanging="360"/>
        <w:jc w:val="both"/>
        <w:rPr>
          <w:lang w:val="en-GB" w:eastAsia="en-GB" w:bidi="en-GB"/>
        </w:rPr>
      </w:pPr>
      <w:r>
        <w:rPr>
          <w:lang w:val="en-GB" w:eastAsia="en-GB" w:bidi="en-GB"/>
        </w:rPr>
        <w:t xml:space="preserve">Manage key clients in line with strategic account management framework and principles.</w:t>
      </w: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22" w:hanging="360"/>
        <w:jc w:val="both"/>
        <w:rPr>
          <w:lang w:val="en-GB" w:eastAsia="en-GB" w:bidi="en-GB"/>
        </w:rPr>
      </w:pPr>
      <w:r>
        <w:rPr>
          <w:lang w:val="en-GB" w:eastAsia="en-GB" w:bidi="en-GB"/>
        </w:rPr>
        <w:t xml:space="preserve">Provide expert and strategic advice to clients on delivering technical and / or regulatory requirements on projects.</w:t>
      </w: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0" w:hanging="360"/>
        <w:jc w:val="both"/>
        <w:rPr>
          <w:lang w:val="en-GB" w:eastAsia="en-GB" w:bidi="en-GB"/>
        </w:rPr>
      </w:pPr>
      <w:r>
        <w:rPr>
          <w:lang w:val="en-GB" w:eastAsia="en-GB" w:bidi="en-GB"/>
        </w:rPr>
        <w:t xml:space="preserve">To be responsible for project delivery within budget and to a high standard. This will include final review and sign off of project documents and reports as well as ensuring that client requirements are met.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Help define the technical standards by which others operate within the team, maintaining a culture of continuous improvement and quality</w:t>
      </w:r>
      <w:r>
        <w:rPr>
          <w:spacing w:val="-4"/>
          <w:lang w:val="en-GB" w:eastAsia="en-GB" w:bidi="en-GB"/>
        </w:rPr>
        <w:t xml:space="preserve"> </w:t>
      </w:r>
      <w:r>
        <w:rPr>
          <w:lang w:val="en-GB" w:eastAsia="en-GB" w:bidi="en-GB"/>
        </w:rPr>
        <w:t xml:space="preserve">assurance and seeking opportunities for innovation.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Act as a trusted internal advisor in data science, analytics and statistics and support mentoring and coaching activities as part of technical capability development. </w:t>
      </w: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22" w:hanging="360"/>
        <w:jc w:val="both"/>
        <w:rPr>
          <w:lang w:val="en-GB" w:eastAsia="en-GB" w:bidi="en-GB"/>
        </w:rPr>
      </w:pPr>
      <w:r>
        <w:rPr>
          <w:lang w:val="en-GB" w:eastAsia="en-GB" w:bidi="en-GB"/>
        </w:rPr>
        <w:t xml:space="preserve">Contribute to resourcing and recruitment plans in respect of technical capability requirements.  </w:t>
      </w: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22" w:hanging="360"/>
        <w:jc w:val="both"/>
        <w:rPr>
          <w:lang w:val="en-GB" w:eastAsia="en-GB" w:bidi="en-GB"/>
        </w:rPr>
      </w:pPr>
      <w:r>
        <w:rPr>
          <w:lang w:val="en-GB" w:eastAsia="en-GB" w:bidi="en-GB"/>
        </w:rPr>
        <w:t xml:space="preserve">Over time the role may involve the direct or indirect management of a small number of individuals to support the continued development of the team.</w:t>
      </w: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22" w:hanging="360"/>
        <w:jc w:val="both"/>
        <w:rPr>
          <w:lang w:val="en-GB" w:eastAsia="en-GB" w:bidi="en-GB"/>
        </w:rPr>
      </w:pPr>
      <w:r>
        <w:rPr>
          <w:lang w:val="en-GB" w:eastAsia="en-GB" w:bidi="en-GB"/>
        </w:rPr>
        <w:t xml:space="preserve">To carry out any additional activities that may be reasonably required or requested.</w:t>
      </w: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22" w:hanging="360"/>
        <w:jc w:val="both"/>
        <w:rPr>
          <w:lang w:val="en-GB" w:eastAsia="en-GB" w:bidi="en-GB"/>
        </w:rPr>
      </w:pPr>
      <w:r>
        <w:rPr>
          <w:lang w:val="en-GB" w:eastAsia="en-GB" w:bidi="en-GB"/>
        </w:rPr>
        <w:t xml:space="preserve">To take reasonable care for the health and safety of yourself and others; make use of the tools, equipment, training, and resources; and actively engage with colleagues at all levels to contribute to the continuous improvement of health and safety management.</w:t>
      </w:r>
    </w:p>
    <w:p>
      <w:pPr>
        <w:pStyle w:val="ListParagraph"/>
        <w:widowControl w:val="off"/>
        <w:numPr>
          <w:ilvl w:val="0"/>
          <w:numId w:val="1"/>
        </w:numPr>
        <w:tabs>
          <w:tab w:val="left" w:pos="36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22" w:hanging="360"/>
        <w:jc w:val="both"/>
        <w:rPr>
          <w:lang w:val="en-GB" w:eastAsia="en-GB" w:bidi="en-GB"/>
        </w:rPr>
      </w:pPr>
      <w:r>
        <w:rPr>
          <w:lang w:val="en-GB" w:eastAsia="en-GB" w:bidi="en-GB"/>
        </w:rPr>
        <w:t xml:space="preserve">Complete mandatory health and safety training modules and any that are specific to your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Our Values</w:t>
      </w:r>
      <w:r>
        <w:rPr>
          <w:rStyle w:val="eop"/>
          <w:rFonts w:ascii="Calibri" w:hAnsi="Calibri" w:eastAsia="Calibri" w:cs="Calibri"/>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Integrity – We do the right 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Quality – Quality in everything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People - We care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Forward thinking – We focus on the future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Positivity – We believe we can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sectPr>
      <w:headerReference w:type="default" r:id="rId00007"/>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ambria Math">
    <w:panose1 w:val="02040503050406030204"/>
    <w:charset w:val="00"/>
    <w:family w:val="roman"/>
    <w:pitch w:val="variable"/>
    <w:sig w:usb0="E00006FF" w:usb1="420024FF" w:usb2="02000000" w:usb3="00000000" w:csb0="2000019F" w:csb1="0000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2000250" cy="92329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00250" cy="92329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Fonts w:ascii="Calibri" w:hAnsi="Calibri" w:eastAsia="Calibri" w:cs="Calibri"/>
      <w:rtl w:val="off"/>
    </w:rPr>
  </w:style>
  <w:style w:type="paragraph" w:styleId="BodyText">
    <w:name w:val="Body Text"/>
    <w:basedOn w:val="Normal"/>
    <w:next w:val="BodyText"/>
    <w:qFormat/>
    <w:pPr>
      <w:widowControl w:val="off"/>
      <w:ind w:left="820"/>
    </w:pPr>
    <w:rPr>
      <w:rFonts w:ascii="Arial" w:hAnsi="Arial" w:eastAsia="Arial" w:cs="Arial"/>
      <w:sz w:val="20"/>
      <w:szCs w:val="20"/>
      <w:lang w:val="en-US" w:eastAsia="en-US" w:bidi="en-US"/>
    </w:rPr>
  </w:style>
  <w:style w:type="character" w:styleId="Body Text Char" w:customStyle="1">
    <w:name w:val="Body Text Char"/>
    <w:qFormat/>
    <w:rPr>
      <w:sz w:val="20"/>
      <w:szCs w:val="20"/>
      <w:rtl w:val="off"/>
      <w:lang w:val="en-US" w:eastAsia="en-US" w:bidi="en-US"/>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2026-03-10T10:29:00Z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ies>
</file>