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lang w:val="en-GB" w:eastAsia="en-GB" w:bidi="en-GB"/>
        </w:rPr>
      </w:pPr>
      <w:r>
        <w:rPr>
          <w:b/>
          <w:bCs/>
          <w:sz w:val="28"/>
          <w:szCs w:val="28"/>
          <w:lang w:val="en-GB" w:eastAsia="en-GB" w:bidi="en-GB"/>
        </w:rPr>
        <w:t xml:space="preserve">Position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Role title: 	Senior Ecologist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Reports to: 	Team Leader - Biodiversity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0000"/>
          <w:lang w:val="en-GB" w:eastAsia="en-GB" w:bidi="en-GB"/>
        </w:rPr>
      </w:pPr>
      <w:r>
        <w:rPr>
          <w:b/>
          <w:bCs/>
          <w:lang w:val="en-GB" w:eastAsia="en-GB" w:bidi="en-GB"/>
        </w:rPr>
        <w:t xml:space="preserve">Grade:		Senior Consultant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Purpose / Scope of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hd w:val="clear" w:color="auto" w:fill="FFFF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At Attexo, we’re excited to be playing a key role in enabling Australia’s energy transition. Every day, our team are contributing to outstanding outcomes on some of the country’s highest profile renewable energy projects including wind farms, grid scale batteries, pumped hydro schemes, solar farms and hydrogen production and transportation projects.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AU" w:eastAsia="en-AU" w:bidi="en-AU"/>
        </w:rPr>
      </w:pPr>
      <w:r>
        <w:rPr>
          <w:lang w:val="en-AU" w:eastAsia="en-AU" w:bidi="en-AU"/>
        </w:rPr>
        <w:t xml:space="preserve">Attexo recently joined APEM Group, an independent, global environmental consultancy with a growing presence in Australia. Joining APEM Group significantly increases our ability to service our clients and provides new career opportunities for our team.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On the back of our continued success and a strong backlog of upcoming projects we are looking to hire a Senior Ecologist to join our ecology and offsets team.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What success looks like in this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 a key member of Attexo’s Biodiversity team you will play a integral role in the delivery of ecological assessment programs for a broad range of projects, with a focus on the renewable energy sector.  You will support the delivery of complex ecology surveys and produce high quality reporting that achieves successful project outcomes for our clients. You will use your professional experience to mentor and guide less experienced team members both in the field and in the office.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Key Responsibilities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Support the delivery of ecological assessments for major projects including flora and fauna survey programs and preparation of associated reporting.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Work as part of multidisciplinary project teams to inform environmental assessments that lead to obtainment of implementable project approvals.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Apply your experience in relation to relevant ecological considerations including requirements under the applicable State and Commonwealth regulatory frameworks.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Ensure the health and safety of yourself and others; make use of the tools, equipment, training and resources; and actively engage with colleagues at all levels to contribute to the continuous improvement of health and safety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Skills/Knowledge/Experience/Qualifications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Essential</w:t>
      </w:r>
      <w:r>
        <w:rPr>
          <w:lang w:val="en-GB" w:eastAsia="en-GB" w:bidi="en-GB"/>
        </w:rPr>
        <w:t xml:space="preserve"> -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5+ years experience in the delivery of ecological assessments to support approval processes and project development.</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delivering flora and/or fauna surveys including mapping of vegetation communities, habitat values and identification of rare and threatened species.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Working knowledge of the relevant regulatory and policy frameworks in Queensland including relevant Commonwealth legislation and policy. Knowledge and experience in other States also highly regarded.</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Demonstrated capabilities in relation to species and vegetation community identification and knowledge of relevant assessment methodologies for key species.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Demonstrated understanding of mitigation strategies and rehabilitation solutions including biodiversity offsets.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Ability to deliver high quality reporting and other project deliverables with minimal supervision.</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w:t>
      </w:r>
      <w:r>
        <w:rPr>
          <w:lang w:val="en-AU" w:eastAsia="en-AU" w:bidi="en-AU"/>
        </w:rPr>
        <w:t xml:space="preserve">ppropriate tertiary qualifications in Science, Environmental Science, Environmental Management, Natural Resources or related </w:t>
      </w:r>
      <w:r>
        <w:rPr>
          <w:lang w:val="en-GB" w:eastAsia="en-GB" w:bidi="en-GB"/>
        </w:rPr>
        <w:t xml:space="preserve">discipline and confirmation that you are “suitably qualified” to complete ecological assessments as defined by relevant regulations.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Desirable</w:t>
      </w:r>
      <w:r>
        <w:rPr>
          <w:lang w:val="en-GB" w:eastAsia="en-GB" w:bidi="en-GB"/>
        </w:rPr>
        <w:t xml:space="preserve"> -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in a technical consulting environment including exposure to key aspects of proposal preparation, client engagement and project management.</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Strong technical understanding of the key aspects of project development, typical project impacts and best practice mitigation strategies.</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b/>
          <w:bCs/>
          <w:sz w:val="22"/>
          <w:szCs w:val="22"/>
          <w:lang w:val="en-GB" w:eastAsia="en-GB" w:bidi="en-GB"/>
        </w:rPr>
        <w:br w:type="page"/>
      </w:r>
      <w:r>
        <w:rPr>
          <w:rStyle w:val="normaltextrun"/>
          <w:rFonts w:ascii="Calibri" w:hAnsi="Calibri" w:eastAsia="Calibri" w:cs="Calibri"/>
          <w:b/>
          <w:bCs/>
          <w:sz w:val="22"/>
          <w:szCs w:val="22"/>
          <w:lang w:val="en-GB" w:eastAsia="en-GB" w:bidi="en-GB"/>
        </w:rPr>
        <w:t xml:space="preserve">Our Values</w:t>
      </w:r>
      <w:r>
        <w:rPr>
          <w:rStyle w:val="eop"/>
          <w:rFonts w:ascii="Calibri" w:hAnsi="Calibri" w:eastAsia="Calibri" w:cs="Calibri"/>
          <w:sz w:val="22"/>
          <w:szCs w:val="22"/>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sz w:val="22"/>
          <w:szCs w:val="22"/>
          <w:lang w:val="en-GB" w:eastAsia="en-GB" w:bidi="en-GB"/>
        </w:rPr>
        <w:t xml:space="preserve">Our most important assets are our people who work for the firm. We all work as one team and rely on each other. We wish to create a working environment to which our people are proud to belong, by maintaining our values at the forefront of everything we do. These values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Impactful: Making a difference is central to our work. Collectively, the individual efforts of our team, have a meaningful impact on the outcomes achieved for our clients, communities and the environment.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Innovative: We encourage and nurture new thinking and challenge the status quo. We are flexible in our approach and encourage our teams to work collaboratively towards creative solutions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Responsive</w:t>
      </w:r>
      <w:r>
        <w:rPr>
          <w:b/>
          <w:bCs/>
          <w:lang w:val="en-GB" w:eastAsia="en-GB" w:bidi="en-GB"/>
        </w:rPr>
        <w:t xml:space="preserve">: </w:t>
      </w:r>
      <w:r>
        <w:rPr>
          <w:lang w:val="en-GB" w:eastAsia="en-GB" w:bidi="en-GB"/>
        </w:rPr>
        <w:t xml:space="preserve">We listen and are actively invested in solving the challenges encountered in delivering projects. We take accountability for the quality of our work and have pride in the value that it creates.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Attexo provides a flexible working environment and encourages applications from diverse backgrounds. Our team benefit from access to a range of great benefits including individual health and wellbeing allowances, professional development support and service based additional leave entitlements.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Additionally, you will have the chance to work in a supportive and inclusive environment that fosters personal growth and the opportunity to contribute to the successful delivery of projects that are changing Australia's energy landscape.</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sectPr>
      <w:headerReference w:type="default" r:id="rId00007"/>
      <w:pgSz w:w="11906" w:h="16838"/>
      <w:pgMar w:top="1440" w:right="1440" w:bottom="1440" w:left="1440" w:header="709" w:footer="709"/>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center"/>
      <w:rPr>
        <w:lang w:val="en-GB" w:eastAsia="en-GB" w:bidi="en-GB"/>
      </w:rPr>
    </w:pPr>
    <w:r>
      <w:rPr>
        <w:lang w:val="en-GB" w:eastAsia="en-GB" w:bidi="en-GB"/>
      </w:rPr>
      <w:drawing>
        <wp:inline distT="0" distB="0" distL="0" distR="0">
          <wp:extent cx="1883410" cy="700405"/>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883410" cy="700405"/>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paragraph">
    <w:name w:val="paragraph"/>
    <w:basedOn w:val="Normal"/>
    <w:next w:val="paragraph"/>
    <w:qFormat/>
    <w:pPr/>
    <w:rPr>
      <w:rFonts w:ascii="Times New Roman" w:hAnsi="Times New Roman" w:eastAsia="Times New Roman" w:cs="Times New Roman"/>
      <w:sz w:val="24"/>
      <w:szCs w:val="24"/>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character" w:styleId="normaltextrun">
    <w:name w:val="normaltextrun"/>
    <w:qFormat/>
    <w:rPr>
      <w:rtl w:val="off"/>
    </w:rPr>
  </w:style>
  <w:style w:type="character" w:styleId="eop">
    <w:name w:val="eop"/>
    <w:qFormat/>
    <w:rPr>
      <w:rtl w:val="off"/>
    </w:rPr>
  </w:style>
  <w:style w:type="character" w:styleId="Balloon Text Char">
    <w:name w:val="Balloon Text Char"/>
    <w:qFormat/>
    <w:rPr>
      <w:rFonts w:ascii="Tahoma" w:hAnsi="Tahoma" w:eastAsia="Tahoma" w:cs="Tahoma"/>
      <w:sz w:val="16"/>
      <w:szCs w:val="16"/>
      <w:rtl w:val="off"/>
    </w:rPr>
  </w:style>
  <w:style w:type="character" w:styleId="CommentReference">
    <w:name w:val="annotation reference"/>
    <w:qFormat/>
    <w:rPr>
      <w:sz w:val="16"/>
      <w:szCs w:val="16"/>
      <w:rtl w:val="off"/>
    </w:rPr>
  </w:style>
  <w:style w:type="character" w:styleId="Comment Text Char">
    <w:name w:val="Comment Text Char"/>
    <w:qFormat/>
    <w:rPr>
      <w:rFonts w:ascii="Calibri" w:hAnsi="Calibri" w:eastAsia="Calibri" w:cs="Calibri"/>
      <w:sz w:val="20"/>
      <w:szCs w:val="20"/>
      <w:rtl w:val="off"/>
    </w:rPr>
  </w:style>
  <w:style w:type="character" w:styleId="Comment Subject Char">
    <w:name w:val="Comment Subject Char"/>
    <w:basedOn w:val="Comment Text Char"/>
    <w:qFormat/>
    <w:rPr>
      <w:rFonts w:ascii="Calibri" w:hAnsi="Calibri" w:eastAsia="Calibri" w:cs="Calibri"/>
      <w:b/>
      <w:bCs/>
      <w:sz w:val="20"/>
      <w:szCs w:val="20"/>
    </w:rPr>
  </w:style>
  <w:style w:type="character" w:styleId="Header Char">
    <w:name w:val="Header Char"/>
    <w:qFormat/>
    <w:rPr>
      <w:rFonts w:ascii="Calibri" w:hAnsi="Calibri" w:eastAsia="Calibri" w:cs="Calibri"/>
      <w:rtl w:val="off"/>
    </w:rPr>
  </w:style>
  <w:style w:type="character" w:styleId="Footer Char">
    <w:name w:val="Footer Char"/>
    <w:qFormat/>
    <w:rPr>
      <w:rFonts w:ascii="Calibri" w:hAnsi="Calibri" w:eastAsia="Calibri" w:cs="Calibri"/>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dcterms:created xsi:type="dcterms:W3CDTF">2024-11-26T07:39:00Z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0x01010018DE9BA3124C9C4C9DCA3D41CF754D49</vt:lpwstr>
  </property>
  <property fmtid="{D5CDD505-2E9C-101B-9397-08002B2CF9AE}" pid="3" name="MediaServiceImageTags">
    <vt:lpwstr/>
  </property>
</Properties>
</file>