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A340"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32B08ADE"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CC3E77"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t>ERP Administrator (Fixed Term Contract)</w:t>
      </w:r>
    </w:p>
    <w:p w14:paraId="6B853092"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t>ERP Manager</w:t>
      </w:r>
    </w:p>
    <w:p w14:paraId="6FA54CF8"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Grade:</w:t>
      </w:r>
      <w:r>
        <w:rPr>
          <w:b/>
          <w:bCs/>
        </w:rPr>
        <w:tab/>
      </w:r>
      <w:r>
        <w:rPr>
          <w:b/>
          <w:bCs/>
        </w:rPr>
        <w:tab/>
      </w:r>
      <w:r>
        <w:t>Graduate</w:t>
      </w:r>
    </w:p>
    <w:p w14:paraId="3386B0B8"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r>
      <w:r>
        <w:t>Group Services</w:t>
      </w:r>
    </w:p>
    <w:p w14:paraId="5136489A"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Division:</w:t>
      </w:r>
      <w:r>
        <w:tab/>
        <w:t>Finance Operations</w:t>
      </w:r>
      <w:r>
        <w:tab/>
      </w:r>
    </w:p>
    <w:p w14:paraId="2A8C19E8"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BCAAA94"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FECCAE"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31FEEBAE"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1BA43C18"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This role serves as a support function for maintaining and optimizing the Deltek VantagePoint system and associated reporting tools to enable efficient business operations. The scope includes managing user-friendly reporting solutions for project managers and other business units, ensuring data accuracy, and providing actionable insights. Additionally, the role supports key processes such as month-end close, project setup, and financial reconciliations while maintaining strong communication channels with internal teams and external stakeholders. It also entails acting as a central point of contact for resolving system queries, testing software upgrades, and collaborating closely with departments like Finance, Administration, and the Tender Team to meet the company’s operational needs.</w:t>
      </w:r>
    </w:p>
    <w:p w14:paraId="06A21BF2"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16C15F"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480524AA"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5C6EB8"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Success in this role is defined by delivering accurate, user-friendly reports and ensuring the Deltek system operates efficiently as your knowledge of VantagePoint increases through training with our team. Key achievements include timely timesheet posting, error-free financial reports, and effective support for staff and stakeholders. Proactively refining processes and maintaining up-to-date system upgrades are also essential indicators of success.</w:t>
      </w:r>
    </w:p>
    <w:p w14:paraId="5D103DF7"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326249D"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Key Responsibilities</w:t>
      </w:r>
    </w:p>
    <w:p w14:paraId="79578CD9"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2EC35DAA"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assist and answer queries from all colleagues regarding Vantagepoint as required. </w:t>
      </w:r>
    </w:p>
    <w:p w14:paraId="17ED0DEA"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review/manage timesheets keeping to 2 or 3 days behind current week. </w:t>
      </w:r>
    </w:p>
    <w:p w14:paraId="7C3B8499"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Support daily/weekly exception reporting (managing/improving) </w:t>
      </w:r>
    </w:p>
    <w:p w14:paraId="125AE370"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liaise with external bodies about any Deltek issues or concerns. </w:t>
      </w:r>
    </w:p>
    <w:p w14:paraId="43D3EAEC"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archive projects on Vantagepoint once financially complete </w:t>
      </w:r>
    </w:p>
    <w:p w14:paraId="33E83228"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Support the BI team with integrity of data from Vantagepoint. </w:t>
      </w:r>
    </w:p>
    <w:p w14:paraId="6DD8FAE0" w14:textId="3162ADCE"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 carry out any additional activities that may be reasonably required or requested, including data entry</w:t>
      </w:r>
      <w:r w:rsidR="00C16052">
        <w:t xml:space="preserve"> and data cleansing</w:t>
      </w:r>
      <w:r>
        <w:t xml:space="preserve">. </w:t>
      </w:r>
    </w:p>
    <w:p w14:paraId="381D551E"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58572F8C" w14:textId="77777777" w:rsidR="00760ED3" w:rsidRDefault="00F33A4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Complete mandatory health and safety training modules and any that are specific to your role.</w:t>
      </w:r>
    </w:p>
    <w:p w14:paraId="23C7EAEC" w14:textId="77777777" w:rsidR="00760ED3" w:rsidRDefault="00760E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478C2A23"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3968B7"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07312D1"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79A5A9B3"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lastRenderedPageBreak/>
        <w:t>Skills/Knowledge/Experience/Qualifications</w:t>
      </w:r>
    </w:p>
    <w:p w14:paraId="636C26B2"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155F71"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p>
    <w:p w14:paraId="19FB57A8"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5E8732"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be technically competent and be able to talk about subjects within your divisional area.</w:t>
      </w:r>
    </w:p>
    <w:p w14:paraId="777567B8"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Proficient writing, data handling and communication skills.</w:t>
      </w:r>
    </w:p>
    <w:p w14:paraId="6E1906E3"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Proficiency in general IT and Microsoft products (Teams, Outlook, Word, Excel).</w:t>
      </w:r>
    </w:p>
    <w:p w14:paraId="512A14D8"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6E8F57"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r>
        <w:t xml:space="preserve"> </w:t>
      </w:r>
    </w:p>
    <w:p w14:paraId="6A7DD385"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288A20"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 years relevant work experience.</w:t>
      </w:r>
    </w:p>
    <w:p w14:paraId="4647F4A5"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with Deltek Vantagepoint and/or Power Query and/or SQL (training will be provided)</w:t>
      </w:r>
    </w:p>
    <w:p w14:paraId="51814411"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Degree or postgraduate degree in a relevant subject.</w:t>
      </w:r>
    </w:p>
    <w:p w14:paraId="671D301E" w14:textId="77777777" w:rsidR="00760ED3" w:rsidRDefault="00760ED3">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5CBD6F9" w14:textId="77777777" w:rsidR="00760ED3" w:rsidRDefault="00F33A48">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5802F3C2" w14:textId="77777777" w:rsidR="00760ED3" w:rsidRDefault="00F33A48">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044E4980"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6655D1"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52F7141B"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6BCB4033"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People - We care</w:t>
      </w:r>
    </w:p>
    <w:p w14:paraId="6F6AD00C"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6FBC4F5F"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263DE8D3" w14:textId="77777777" w:rsidR="00760ED3" w:rsidRDefault="00F33A48">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30199D20"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ADB07C"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5F587969"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368E5B"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28001167"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A855D1"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45F0EBA5"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468D0609"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2B2D7318" w14:textId="77777777" w:rsidR="00760ED3" w:rsidRDefault="00F3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t xml:space="preserve">Inspiration and insight can come from anywhere, and no matter your history or choices in life, we empower our people to be their best, so we can be our best, together. </w:t>
      </w:r>
      <w:r>
        <w:rPr>
          <w:b/>
          <w:bCs/>
        </w:rPr>
        <w:t>We welcome the whole you.</w:t>
      </w:r>
    </w:p>
    <w:p w14:paraId="09A521CF" w14:textId="77777777" w:rsidR="00760ED3" w:rsidRDefault="0076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sectPr w:rsidR="00760ED3">
      <w:headerReference w:type="default" r:id="rId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46DA" w14:textId="77777777" w:rsidR="00180512" w:rsidRDefault="00180512">
      <w:r>
        <w:separator/>
      </w:r>
    </w:p>
  </w:endnote>
  <w:endnote w:type="continuationSeparator" w:id="0">
    <w:p w14:paraId="1C7FC702" w14:textId="77777777" w:rsidR="00180512" w:rsidRDefault="0018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2E4A" w14:textId="77777777" w:rsidR="00180512" w:rsidRDefault="00180512">
      <w:r>
        <w:separator/>
      </w:r>
    </w:p>
  </w:footnote>
  <w:footnote w:type="continuationSeparator" w:id="0">
    <w:p w14:paraId="681AEDA0" w14:textId="77777777" w:rsidR="00180512" w:rsidRDefault="0018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6C8C" w14:textId="77777777" w:rsidR="00760ED3" w:rsidRDefault="00F33A48">
    <w:pPr>
      <w:pStyle w:val="Header"/>
      <w:jc w:val="center"/>
    </w:pPr>
    <w:r>
      <w:rPr>
        <w:noProof/>
      </w:rPr>
      <w:drawing>
        <wp:inline distT="0" distB="0" distL="0" distR="0" wp14:anchorId="710A85D4" wp14:editId="3BBD1CD0">
          <wp:extent cx="200025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025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60438"/>
    <w:multiLevelType w:val="singleLevel"/>
    <w:tmpl w:val="EA381822"/>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72C375E1"/>
    <w:multiLevelType w:val="singleLevel"/>
    <w:tmpl w:val="DD1E44F4"/>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660962956">
    <w:abstractNumId w:val="1"/>
  </w:num>
  <w:num w:numId="2" w16cid:durableId="28647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D3"/>
    <w:rsid w:val="00180512"/>
    <w:rsid w:val="00314FF8"/>
    <w:rsid w:val="00760ED3"/>
    <w:rsid w:val="007B5F44"/>
    <w:rsid w:val="00C16052"/>
    <w:rsid w:val="00F3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9D17"/>
  <w15:docId w15:val="{A054C0E9-DCF3-4308-83CE-9160331C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customStyle="1" w:styleId="normaltextrun">
    <w:name w:val="normaltextrun"/>
    <w:qFormat/>
    <w:rPr>
      <w:rtl w:val="0"/>
    </w:rPr>
  </w:style>
  <w:style w:type="character" w:customStyle="1" w:styleId="eop">
    <w:name w:val="eop"/>
    <w:qFormat/>
    <w:rPr>
      <w:rtl w:val="0"/>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3589</Characters>
  <Application>Microsoft Office Word</Application>
  <DocSecurity>0</DocSecurity>
  <Lines>88</Lines>
  <Paragraphs>42</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Liz Hope</cp:lastModifiedBy>
  <cp:revision>3</cp:revision>
  <dcterms:created xsi:type="dcterms:W3CDTF">2026-02-13T09:48:00Z</dcterms:created>
  <dcterms:modified xsi:type="dcterms:W3CDTF">2026-04-13T13:27:00Z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0x010100B3172DD91713A14699A61E771633D083</vt:lpwstr>
  </property>
  <property fmtid="{D5CDD505-2E9C-101B-9397-08002B2CF9AE}" pid="4" name="TemplateUrl">
    <vt:lpwstr/>
  </property>
  <property fmtid="{D5CDD505-2E9C-101B-9397-08002B2CF9AE}" pid="5" name="Order">
    <vt:r8>51532200</vt:r8>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ies>
</file>