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lang w:val="en-GB" w:eastAsia="en-GB" w:bidi="en-GB"/>
        </w:rPr>
      </w:pPr>
      <w:r>
        <w:rPr>
          <w:b/>
          <w:bCs/>
          <w:lang w:val="en-GB" w:eastAsia="en-GB" w:bidi="en-GB"/>
        </w:rPr>
        <w:t xml:space="preserve">Position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Team Leader – Environmental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Partner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		Principal or Senior Principal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r>
        <w:rPr>
          <w:lang w:val="en-AU" w:eastAsia="en-AU" w:bidi="en-AU"/>
        </w:rPr>
        <w:t xml:space="preserve">At Attexo, we’re excited to be playing a key role in enabling Australia’s energy transition. Every day, our team are contributing to outstanding outcomes on some of the country’s highest profile renewable energy projects including wind farms, grid scale batteries, pumped hydro schemes, solar farms and hydrogen production and transportation projects.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r>
        <w:rPr>
          <w:lang w:val="en-AU" w:eastAsia="en-AU" w:bidi="en-AU"/>
        </w:rPr>
        <w:t xml:space="preserve">Attexo recently joined APEM Group, an independent, global environmental consultancy with a growing presence in Australia. Joining APEM Group significantly increases our ability to service our clients and provides new career opportunities for our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r>
        <w:rPr>
          <w:lang w:val="en-AU" w:eastAsia="en-AU" w:bidi="en-AU"/>
        </w:rPr>
        <w:t xml:space="preserve">On the back of our continued success and a strong backlog of upcoming projects we have a current vacancy for a Team Leader – Environmental Management. This role would be suited to experienced professionals with qualifications in environmental science, environmental engineering, environmental management or a related discipline.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 will lead a team of dedicated environmental practitioners supporting Attexo’s clients to plan for the execution of their projects in a manner that achieves relevant environmental objectives and complies with applicable approvals, regulations and community expectations.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 this role you will be part of Attexo’ Management Team and responsible for leading a team of experienced professionals delivering environmental management services in support of renewable energy and resource developments. Your primary responsibilities will include: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Leading the delivery of engagements focused on the preparation and implementation of environmental management and compliance frameworks for major energy and resource projects.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Developing strong client relationships with view to securing new and repeat project work.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Preparing reports, plans and other deliverables related to environmental management and compliance aspects of renewable energy and resource projects.</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Review contractor management plans and deliverables against legislative requirements, compliance frameworks and relevant best practice standards.</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Provide pragmatic, technically correct and commercially focused environmental management advice to clients.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Working with our approvals team to assist our clients in obtaining approvals and permits for projects under relevant legislation.</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Undertaking site environmental inspections and reporting in accordance with relevant compliance frameworks for construction and operational sites.</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Collaborating with cross-functional teams to integrate environmental management and compliance considerations into project planning and decision-making processes.</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Ensuring team members are appropriately supported to undertake their tasks.</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Mentoring junior staff in areas of technical expertise across environmental management subject matter.</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Researching and analysing environmental policies, regulations, and industry best practices to ensure project compliance and alignment with overall objectives.</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Supporting engagement activities with regulatory authorities, community and other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 </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 strong understanding of the environmental management requirements applicable to the development of energy sector projects.</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Demonstrated experience in designing and implementing environmental compliance frameworks for large infrastructure projects with multiple approval conditions and management plan commitments.</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working on development projects in Queensland and strong knowledge of the Environmental Protection Act 1994 and related legislation, regulations and policies. </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Knowledge of renewable energy technologies and their environmental implications.</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Ability to effectively lead a team of like-minded and motivated environmental management professionals.</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Excellent analytical and problem-solving skills, with the ability to interpret complex data and provide actionable recommendations.</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Effective written and verbal communication skills, including experience in technical report writing, management plan development and presentation delivery.</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Ability to work collaboratively in a team environment and manage multiple tasks with attention to detail.</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Bachelor's degree in environmental science, environmental engineering or environmental management.</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Strong organisational and time management abilities, with a proactive and self-motivated work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 </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Previous experience in a consulting, environment will be highly regarded.</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Certification in a related field of expertise (e.g. CPESC, CPSS, CEnvP) highly regarded but not essential.</w:t>
      </w:r>
    </w:p>
    <w:p>
      <w:pPr>
        <w:pStyle w:val="Normal"/>
        <w:numPr>
          <w:ilvl w:val="0"/>
          <w:numId w:val="2"/>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 strong passion for renewable energy and a commitment to sustainable development practices.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Impactful: Making a difference is central to our work. Collectively, the individual efforts of our team, have a meaningful impact on the outcomes achieved for our clients, communities and the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Innovative: We encourage and nurture new thinking and challenge the status quo. We are flexible in our approach and encourage our teams to work collaboratively towards creative solutions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Responsive</w:t>
      </w:r>
      <w:r>
        <w:rPr>
          <w:b/>
          <w:bCs/>
          <w:lang w:val="en-GB" w:eastAsia="en-GB" w:bidi="en-GB"/>
        </w:rPr>
        <w:t xml:space="preserve">: </w:t>
      </w:r>
      <w:r>
        <w:rPr>
          <w:lang w:val="en-GB" w:eastAsia="en-GB" w:bidi="en-GB"/>
        </w:rPr>
        <w:t xml:space="preserve">We listen and are actively invested in solving the challenges encountered in delivering projects. We take accountability for the quality of our work and have pride in the value that it creates.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Attexo provides a flexible working environment and encourages applications from diverse backgrounds. Our team benefit from access to a range of great benefits including individual health and wellbeing allowances, professional development support and service based additional leave entitlements.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Additionally, you will have the chance to work in a supportive and inclusive environment that fosters personal growth and the opportunity to contribute to the successful delivery of projects that are changing Australia's energy landscape.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7"/>
      <w:pgSz w:w="11906" w:h="16838"/>
      <w:pgMar w:top="1440" w:right="1440" w:bottom="1440"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center"/>
      <w:rPr>
        <w:lang w:val="en-GB" w:eastAsia="en-GB" w:bidi="en-GB"/>
      </w:rPr>
    </w:pPr>
    <w:r>
      <w:rPr>
        <w:lang w:val="en-GB" w:eastAsia="en-GB" w:bidi="en-GB"/>
      </w:rPr>
      <w:drawing>
        <wp:inline distT="0" distB="0" distL="0" distR="0">
          <wp:extent cx="1883410" cy="70040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883410" cy="70040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List Paragraph 2">
    <w:name w:val="List Paragraph 2"/>
    <w:basedOn w:val="ListParagraph"/>
    <w:next w:val="List Paragraph 2"/>
    <w:qFormat/>
    <w:pPr>
      <w:spacing w:before="60" w:after="60"/>
      <w:ind w:left="851" w:hanging="1"/>
      <w:jc w:val="both"/>
    </w:pPr>
    <w:rPr>
      <w:sz w:val="20"/>
      <w:szCs w:val="20"/>
      <w:lang w:val="en-AU" w:eastAsia="en-AU" w:bidi="en-AU"/>
    </w:rPr>
  </w:style>
  <w:style w:type="paragraph" w:styleId="List Paragraph 3">
    <w:name w:val="List Paragraph 3"/>
    <w:basedOn w:val="ListParagraph"/>
    <w:next w:val="List Paragraph 3"/>
    <w:qFormat/>
    <w:pPr>
      <w:tabs>
        <w:tab w:val="left" w:pos="360"/>
      </w:tabs>
      <w:spacing w:before="60" w:after="60"/>
      <w:ind w:left="1276"/>
      <w:jc w:val="both"/>
    </w:pPr>
    <w:rPr>
      <w:sz w:val="20"/>
      <w:szCs w:val="20"/>
      <w:lang w:val="en-AU" w:eastAsia="en-AU" w:bidi="en-AU"/>
    </w:rPr>
  </w:style>
  <w:style w:type="paragraph" w:styleId="List Paragraph 4">
    <w:name w:val="List Paragraph 4"/>
    <w:basedOn w:val="ListParagraph"/>
    <w:next w:val="List Paragraph 4"/>
    <w:qFormat/>
    <w:pPr>
      <w:tabs>
        <w:tab w:val="left" w:pos="360"/>
      </w:tabs>
      <w:spacing w:before="60" w:after="60"/>
      <w:ind w:left="1701" w:hanging="1"/>
      <w:jc w:val="both"/>
    </w:pPr>
    <w:rPr>
      <w:sz w:val="20"/>
      <w:szCs w:val="20"/>
      <w:lang w:val="en-AU" w:eastAsia="en-AU" w:bidi="en-AU"/>
    </w:rPr>
  </w:style>
  <w:style w:type="paragraph" w:styleId="List Paragraph 5">
    <w:name w:val="List Paragraph 5"/>
    <w:basedOn w:val="ListParagraph"/>
    <w:next w:val="List Paragraph 5"/>
    <w:qFormat/>
    <w:pPr>
      <w:tabs>
        <w:tab w:val="left" w:pos="360"/>
      </w:tabs>
      <w:spacing w:before="60" w:after="60"/>
      <w:ind w:left="2126" w:hanging="1"/>
      <w:jc w:val="both"/>
    </w:pPr>
    <w:rPr>
      <w:sz w:val="20"/>
      <w:szCs w:val="20"/>
      <w:lang w:val="en-AU" w:eastAsia="en-AU" w:bidi="en-AU"/>
    </w:rPr>
  </w:style>
  <w:style w:type="paragraph" w:styleId="List Paragraph 6">
    <w:name w:val="List Paragraph 6"/>
    <w:basedOn w:val="ListParagraph"/>
    <w:next w:val="List Paragraph 6"/>
    <w:qFormat/>
    <w:pPr>
      <w:spacing w:before="60" w:after="60"/>
      <w:ind w:left="2552" w:hanging="2"/>
      <w:jc w:val="both"/>
    </w:pPr>
    <w:rPr>
      <w:sz w:val="20"/>
      <w:szCs w:val="20"/>
      <w:lang w:val="en-AU" w:eastAsia="en-AU" w:bidi="en-AU"/>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normaltextrun">
    <w:name w:val="normaltextrun"/>
    <w:qFormat/>
    <w:rPr>
      <w:rtl w:val="off"/>
    </w:rPr>
  </w:style>
  <w:style w:type="character" w:styleId="eop">
    <w:name w:val="eop"/>
    <w:qFormat/>
    <w:rPr>
      <w:rtl w:val="off"/>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character" w:styleId="Footer Char">
    <w:name w:val="Footer Char"/>
    <w:qFormat/>
    <w:rPr>
      <w:rFonts w:ascii="Calibri" w:hAnsi="Calibri" w:eastAsia="Calibri" w:cs="Calibri"/>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2024-10-28T11:59:00Z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0x01010018DE9BA3124C9C4C9DCA3D41CF754D49</vt:lpwstr>
  </property>
  <property fmtid="{D5CDD505-2E9C-101B-9397-08002B2CF9AE}" pid="3" name="MediaServiceImageTags">
    <vt:lpwstr/>
  </property>
</Properties>
</file>